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1076"/>
        <w:gridCol w:w="3039"/>
        <w:gridCol w:w="9884"/>
      </w:tblGrid>
      <w:tr w:rsidR="006C5C76" w:rsidRPr="00A3637A" w:rsidTr="006C5C76">
        <w:trPr>
          <w:trHeight w:val="269"/>
        </w:trPr>
        <w:tc>
          <w:tcPr>
            <w:tcW w:w="14560" w:type="dxa"/>
            <w:gridSpan w:val="4"/>
            <w:vMerge w:val="restart"/>
            <w:hideMark/>
          </w:tcPr>
          <w:p w:rsidR="006C5C76" w:rsidRPr="00A3637A" w:rsidRDefault="006C5C76" w:rsidP="004D6129">
            <w:pPr>
              <w:jc w:val="center"/>
              <w:rPr>
                <w:b/>
                <w:bCs/>
              </w:rPr>
            </w:pPr>
            <w:r w:rsidRPr="00A3637A">
              <w:rPr>
                <w:b/>
                <w:bCs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 для проведения аттестации в области промышленной безопасности, по вопросам безопасности гидротехнических сооружений, безопасности в сфере энергетики</w:t>
            </w:r>
          </w:p>
        </w:tc>
      </w:tr>
      <w:tr w:rsidR="006C5C76" w:rsidRPr="00A3637A" w:rsidTr="004D6129">
        <w:trPr>
          <w:trHeight w:val="695"/>
        </w:trPr>
        <w:tc>
          <w:tcPr>
            <w:tcW w:w="14560" w:type="dxa"/>
            <w:gridSpan w:val="4"/>
            <w:vMerge/>
            <w:hideMark/>
          </w:tcPr>
          <w:p w:rsidR="006C5C76" w:rsidRPr="00A3637A" w:rsidRDefault="006C5C76">
            <w:pPr>
              <w:rPr>
                <w:b/>
                <w:bCs/>
              </w:rPr>
            </w:pPr>
          </w:p>
        </w:tc>
      </w:tr>
      <w:tr w:rsidR="006C5C76" w:rsidRPr="00A3637A" w:rsidTr="00225E3A">
        <w:trPr>
          <w:trHeight w:val="645"/>
        </w:trPr>
        <w:tc>
          <w:tcPr>
            <w:tcW w:w="561" w:type="dxa"/>
            <w:hideMark/>
          </w:tcPr>
          <w:p w:rsidR="006C5C76" w:rsidRPr="00A3637A" w:rsidRDefault="006C5C76">
            <w:pPr>
              <w:rPr>
                <w:b/>
                <w:bCs/>
              </w:rPr>
            </w:pPr>
            <w:r w:rsidRPr="00A3637A">
              <w:rPr>
                <w:b/>
                <w:bCs/>
              </w:rPr>
              <w:t xml:space="preserve">№ </w:t>
            </w:r>
            <w:proofErr w:type="gramStart"/>
            <w:r w:rsidRPr="00A3637A">
              <w:rPr>
                <w:b/>
                <w:bCs/>
              </w:rPr>
              <w:t>п</w:t>
            </w:r>
            <w:proofErr w:type="gramEnd"/>
            <w:r w:rsidRPr="00A3637A">
              <w:rPr>
                <w:b/>
                <w:bCs/>
              </w:rPr>
              <w:t>/п</w:t>
            </w:r>
          </w:p>
        </w:tc>
        <w:tc>
          <w:tcPr>
            <w:tcW w:w="1076" w:type="dxa"/>
            <w:hideMark/>
          </w:tcPr>
          <w:p w:rsidR="006C5C76" w:rsidRPr="00A3637A" w:rsidRDefault="006C5C76">
            <w:pPr>
              <w:rPr>
                <w:b/>
                <w:bCs/>
              </w:rPr>
            </w:pPr>
            <w:r w:rsidRPr="00A3637A">
              <w:rPr>
                <w:b/>
                <w:bCs/>
              </w:rPr>
              <w:t>Шифр тестовых заданий</w:t>
            </w:r>
          </w:p>
        </w:tc>
        <w:tc>
          <w:tcPr>
            <w:tcW w:w="3039" w:type="dxa"/>
            <w:hideMark/>
          </w:tcPr>
          <w:p w:rsidR="006C5C76" w:rsidRPr="00A3637A" w:rsidRDefault="006C5C76">
            <w:pPr>
              <w:rPr>
                <w:b/>
                <w:bCs/>
              </w:rPr>
            </w:pPr>
            <w:r w:rsidRPr="00A3637A">
              <w:rPr>
                <w:b/>
                <w:bCs/>
              </w:rPr>
              <w:t>Наименование тестовых заданий (категория работников по отраслям)</w:t>
            </w:r>
          </w:p>
        </w:tc>
        <w:tc>
          <w:tcPr>
            <w:tcW w:w="9884" w:type="dxa"/>
            <w:hideMark/>
          </w:tcPr>
          <w:p w:rsidR="006C5C76" w:rsidRPr="00A3637A" w:rsidRDefault="006C5C76" w:rsidP="006C5C76">
            <w:pPr>
              <w:rPr>
                <w:b/>
                <w:bCs/>
              </w:rPr>
            </w:pPr>
            <w:r w:rsidRPr="00A3637A">
              <w:rPr>
                <w:b/>
                <w:bCs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</w:t>
            </w:r>
          </w:p>
        </w:tc>
      </w:tr>
      <w:tr w:rsidR="006C5C76" w:rsidRPr="00A3637A" w:rsidTr="006C5C76">
        <w:trPr>
          <w:trHeight w:val="690"/>
        </w:trPr>
        <w:tc>
          <w:tcPr>
            <w:tcW w:w="14560" w:type="dxa"/>
            <w:gridSpan w:val="4"/>
            <w:hideMark/>
          </w:tcPr>
          <w:p w:rsidR="004D6129" w:rsidRPr="004D6129" w:rsidRDefault="004D6129" w:rsidP="004D6129">
            <w:pPr>
              <w:spacing w:line="480" w:lineRule="auto"/>
              <w:jc w:val="center"/>
              <w:rPr>
                <w:b/>
                <w:bCs/>
                <w:i/>
                <w:iCs/>
                <w:sz w:val="10"/>
                <w:szCs w:val="10"/>
              </w:rPr>
            </w:pPr>
          </w:p>
          <w:p w:rsidR="006C5C76" w:rsidRPr="00A3637A" w:rsidRDefault="00415BC8" w:rsidP="004D6129">
            <w:pPr>
              <w:spacing w:line="480" w:lineRule="auto"/>
              <w:jc w:val="center"/>
              <w:rPr>
                <w:b/>
                <w:bCs/>
                <w:i/>
                <w:iCs/>
              </w:rPr>
            </w:pPr>
            <w:r w:rsidRPr="00415BC8">
              <w:rPr>
                <w:b/>
                <w:bCs/>
                <w:i/>
                <w:iCs/>
              </w:rPr>
              <w:t>Требования промышленной безопасности, относящиеся к взрывным работам</w:t>
            </w:r>
          </w:p>
        </w:tc>
      </w:tr>
      <w:tr w:rsidR="004374C2" w:rsidRPr="00A3637A" w:rsidTr="00225E3A">
        <w:trPr>
          <w:trHeight w:val="765"/>
        </w:trPr>
        <w:tc>
          <w:tcPr>
            <w:tcW w:w="561" w:type="dxa"/>
            <w:vMerge w:val="restart"/>
            <w:hideMark/>
          </w:tcPr>
          <w:p w:rsidR="004374C2" w:rsidRPr="00A3637A" w:rsidRDefault="004374C2">
            <w:r w:rsidRPr="00A3637A">
              <w:t>1</w:t>
            </w:r>
          </w:p>
        </w:tc>
        <w:tc>
          <w:tcPr>
            <w:tcW w:w="1076" w:type="dxa"/>
            <w:vMerge w:val="restart"/>
            <w:hideMark/>
          </w:tcPr>
          <w:p w:rsidR="004374C2" w:rsidRPr="00A3637A" w:rsidRDefault="004374C2">
            <w:pPr>
              <w:rPr>
                <w:b/>
                <w:bCs/>
              </w:rPr>
            </w:pPr>
            <w:r w:rsidRPr="00A3637A">
              <w:rPr>
                <w:b/>
                <w:bCs/>
              </w:rPr>
              <w:t>Б.1</w:t>
            </w:r>
            <w:r>
              <w:rPr>
                <w:b/>
                <w:bCs/>
                <w:lang w:val="en-US"/>
              </w:rPr>
              <w:t>2</w:t>
            </w:r>
            <w:r w:rsidRPr="00A3637A">
              <w:rPr>
                <w:b/>
                <w:bCs/>
              </w:rPr>
              <w:t>.1</w:t>
            </w:r>
          </w:p>
        </w:tc>
        <w:tc>
          <w:tcPr>
            <w:tcW w:w="3039" w:type="dxa"/>
            <w:vMerge w:val="restart"/>
            <w:hideMark/>
          </w:tcPr>
          <w:p w:rsidR="004374C2" w:rsidRPr="00A3637A" w:rsidRDefault="004374C2">
            <w:r w:rsidRPr="00415BC8">
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пыли, и специальные взрывные работы</w:t>
            </w:r>
            <w:bookmarkStart w:id="0" w:name="_GoBack"/>
            <w:bookmarkEnd w:id="0"/>
          </w:p>
        </w:tc>
        <w:tc>
          <w:tcPr>
            <w:tcW w:w="9884" w:type="dxa"/>
            <w:hideMark/>
          </w:tcPr>
          <w:p w:rsidR="004374C2" w:rsidRPr="004374C2" w:rsidRDefault="004374C2" w:rsidP="004374C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постановление Правительства РФ от 15.09.2020 № 1435 «О лицензировании деятельности, связанной с обращением взрывчатых материалов промышленного назначения» (вместе с «Положением о лицензировании деятельности, связанной с обращением взрывчатых материалов промышленного назначения»)</w:t>
            </w:r>
          </w:p>
        </w:tc>
      </w:tr>
      <w:tr w:rsidR="004374C2" w:rsidRPr="00A3637A" w:rsidTr="00225E3A">
        <w:trPr>
          <w:trHeight w:val="885"/>
        </w:trPr>
        <w:tc>
          <w:tcPr>
            <w:tcW w:w="561" w:type="dxa"/>
            <w:vMerge/>
            <w:hideMark/>
          </w:tcPr>
          <w:p w:rsidR="004374C2" w:rsidRPr="00A3637A" w:rsidRDefault="004374C2"/>
        </w:tc>
        <w:tc>
          <w:tcPr>
            <w:tcW w:w="1076" w:type="dxa"/>
            <w:vMerge/>
            <w:hideMark/>
          </w:tcPr>
          <w:p w:rsidR="004374C2" w:rsidRPr="00A3637A" w:rsidRDefault="004374C2">
            <w:pPr>
              <w:rPr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4374C2" w:rsidRPr="00A3637A" w:rsidRDefault="004374C2"/>
        </w:tc>
        <w:tc>
          <w:tcPr>
            <w:tcW w:w="9884" w:type="dxa"/>
            <w:hideMark/>
          </w:tcPr>
          <w:p w:rsidR="004374C2" w:rsidRPr="004374C2" w:rsidRDefault="004374C2" w:rsidP="004374C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приказ </w:t>
            </w:r>
            <w:proofErr w:type="spellStart"/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Ростехнадзора</w:t>
            </w:r>
            <w:proofErr w:type="spellEnd"/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от 04.08.2014 № 345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выдаче разрешений на постоянное применение взрывчатых веществ и изделий на их основе»</w:t>
            </w:r>
          </w:p>
        </w:tc>
      </w:tr>
      <w:tr w:rsidR="004374C2" w:rsidRPr="00A3637A" w:rsidTr="00225E3A">
        <w:trPr>
          <w:trHeight w:val="885"/>
        </w:trPr>
        <w:tc>
          <w:tcPr>
            <w:tcW w:w="561" w:type="dxa"/>
            <w:vMerge/>
            <w:hideMark/>
          </w:tcPr>
          <w:p w:rsidR="004374C2" w:rsidRPr="00A3637A" w:rsidRDefault="004374C2"/>
        </w:tc>
        <w:tc>
          <w:tcPr>
            <w:tcW w:w="1076" w:type="dxa"/>
            <w:vMerge/>
            <w:hideMark/>
          </w:tcPr>
          <w:p w:rsidR="004374C2" w:rsidRPr="00A3637A" w:rsidRDefault="004374C2">
            <w:pPr>
              <w:rPr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4374C2" w:rsidRPr="00A3637A" w:rsidRDefault="004374C2"/>
        </w:tc>
        <w:tc>
          <w:tcPr>
            <w:tcW w:w="9884" w:type="dxa"/>
            <w:hideMark/>
          </w:tcPr>
          <w:p w:rsidR="004374C2" w:rsidRPr="004374C2" w:rsidRDefault="004374C2" w:rsidP="004374C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приказ </w:t>
            </w:r>
            <w:proofErr w:type="spellStart"/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Ростехнадзора</w:t>
            </w:r>
            <w:proofErr w:type="spellEnd"/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от 03.12.2020 № 494 «Об утверждении Федеральных норм и правил в области промышленной безопасности «Правила безопасности при производстве, хранении и применении взрывчатых материалов промышленного назначения».</w:t>
            </w:r>
          </w:p>
        </w:tc>
      </w:tr>
      <w:tr w:rsidR="004374C2" w:rsidRPr="00A3637A" w:rsidTr="004374C2">
        <w:trPr>
          <w:trHeight w:val="260"/>
        </w:trPr>
        <w:tc>
          <w:tcPr>
            <w:tcW w:w="561" w:type="dxa"/>
            <w:vMerge/>
            <w:hideMark/>
          </w:tcPr>
          <w:p w:rsidR="004374C2" w:rsidRPr="00A3637A" w:rsidRDefault="004374C2"/>
        </w:tc>
        <w:tc>
          <w:tcPr>
            <w:tcW w:w="1076" w:type="dxa"/>
            <w:vMerge/>
            <w:hideMark/>
          </w:tcPr>
          <w:p w:rsidR="004374C2" w:rsidRPr="00A3637A" w:rsidRDefault="004374C2">
            <w:pPr>
              <w:rPr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4374C2" w:rsidRPr="00A3637A" w:rsidRDefault="004374C2"/>
        </w:tc>
        <w:tc>
          <w:tcPr>
            <w:tcW w:w="9884" w:type="dxa"/>
            <w:hideMark/>
          </w:tcPr>
          <w:p w:rsidR="004374C2" w:rsidRPr="004374C2" w:rsidRDefault="004374C2" w:rsidP="004374C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приказ </w:t>
            </w:r>
            <w:proofErr w:type="spellStart"/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Ростехнадзора</w:t>
            </w:r>
            <w:proofErr w:type="spellEnd"/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от 08.12.2020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</w:t>
            </w:r>
          </w:p>
        </w:tc>
      </w:tr>
      <w:tr w:rsidR="004374C2" w:rsidRPr="00A3637A" w:rsidTr="00225E3A">
        <w:trPr>
          <w:trHeight w:val="260"/>
        </w:trPr>
        <w:tc>
          <w:tcPr>
            <w:tcW w:w="561" w:type="dxa"/>
            <w:vMerge/>
          </w:tcPr>
          <w:p w:rsidR="004374C2" w:rsidRPr="00A3637A" w:rsidRDefault="004374C2"/>
        </w:tc>
        <w:tc>
          <w:tcPr>
            <w:tcW w:w="1076" w:type="dxa"/>
            <w:vMerge/>
          </w:tcPr>
          <w:p w:rsidR="004374C2" w:rsidRPr="00A3637A" w:rsidRDefault="004374C2">
            <w:pPr>
              <w:rPr>
                <w:b/>
                <w:bCs/>
              </w:rPr>
            </w:pPr>
          </w:p>
        </w:tc>
        <w:tc>
          <w:tcPr>
            <w:tcW w:w="3039" w:type="dxa"/>
            <w:vMerge/>
          </w:tcPr>
          <w:p w:rsidR="004374C2" w:rsidRPr="00A3637A" w:rsidRDefault="004374C2"/>
        </w:tc>
        <w:tc>
          <w:tcPr>
            <w:tcW w:w="9884" w:type="dxa"/>
          </w:tcPr>
          <w:p w:rsidR="004374C2" w:rsidRPr="004374C2" w:rsidRDefault="004374C2" w:rsidP="004374C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приказ </w:t>
            </w:r>
            <w:proofErr w:type="spellStart"/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Ростехнадзора</w:t>
            </w:r>
            <w:proofErr w:type="spellEnd"/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от 16.04.2012 № 254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выдаче разрешений на ведение работ </w:t>
            </w:r>
            <w:proofErr w:type="gramStart"/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со</w:t>
            </w:r>
            <w:proofErr w:type="gramEnd"/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взрывчатыми материалами промышленного назначения»</w:t>
            </w:r>
          </w:p>
        </w:tc>
      </w:tr>
      <w:tr w:rsidR="004374C2" w:rsidRPr="00A3637A" w:rsidTr="00225E3A">
        <w:trPr>
          <w:trHeight w:val="260"/>
        </w:trPr>
        <w:tc>
          <w:tcPr>
            <w:tcW w:w="561" w:type="dxa"/>
            <w:vMerge/>
          </w:tcPr>
          <w:p w:rsidR="004374C2" w:rsidRPr="00A3637A" w:rsidRDefault="004374C2"/>
        </w:tc>
        <w:tc>
          <w:tcPr>
            <w:tcW w:w="1076" w:type="dxa"/>
            <w:vMerge/>
          </w:tcPr>
          <w:p w:rsidR="004374C2" w:rsidRPr="00A3637A" w:rsidRDefault="004374C2">
            <w:pPr>
              <w:rPr>
                <w:b/>
                <w:bCs/>
              </w:rPr>
            </w:pPr>
          </w:p>
        </w:tc>
        <w:tc>
          <w:tcPr>
            <w:tcW w:w="3039" w:type="dxa"/>
            <w:vMerge/>
          </w:tcPr>
          <w:p w:rsidR="004374C2" w:rsidRPr="00A3637A" w:rsidRDefault="004374C2"/>
        </w:tc>
        <w:tc>
          <w:tcPr>
            <w:tcW w:w="9884" w:type="dxa"/>
          </w:tcPr>
          <w:p w:rsidR="004374C2" w:rsidRPr="004374C2" w:rsidRDefault="004374C2" w:rsidP="004374C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решение Совета Евразийской экономической комиссии от 20.07.2012 № 57 «О принятии технического регламента Таможенного союза «О безопасности взрывчатых веществ и изделий на их основе» (вместе с «</w:t>
            </w:r>
            <w:proofErr w:type="gramStart"/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ТР</w:t>
            </w:r>
            <w:proofErr w:type="gramEnd"/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ТС 028/2012. Технический регламент Таможенного союза. </w:t>
            </w:r>
            <w:proofErr w:type="gramStart"/>
            <w:r w:rsidRPr="004374C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безопасности взрывчатых веществ и изделий на их основе»)</w:t>
            </w:r>
            <w:proofErr w:type="gramEnd"/>
          </w:p>
        </w:tc>
      </w:tr>
      <w:tr w:rsidR="0012162C" w:rsidRPr="00A3637A" w:rsidTr="0012162C">
        <w:trPr>
          <w:trHeight w:val="765"/>
        </w:trPr>
        <w:tc>
          <w:tcPr>
            <w:tcW w:w="561" w:type="dxa"/>
            <w:vMerge w:val="restart"/>
            <w:hideMark/>
          </w:tcPr>
          <w:p w:rsidR="0012162C" w:rsidRPr="00A3637A" w:rsidRDefault="0012162C">
            <w:r w:rsidRPr="00A3637A">
              <w:lastRenderedPageBreak/>
              <w:t>2</w:t>
            </w:r>
          </w:p>
        </w:tc>
        <w:tc>
          <w:tcPr>
            <w:tcW w:w="1076" w:type="dxa"/>
            <w:vMerge w:val="restart"/>
            <w:hideMark/>
          </w:tcPr>
          <w:p w:rsidR="0012162C" w:rsidRPr="00A3637A" w:rsidRDefault="0012162C">
            <w:pPr>
              <w:rPr>
                <w:b/>
                <w:bCs/>
              </w:rPr>
            </w:pPr>
            <w:r w:rsidRPr="00A3637A">
              <w:rPr>
                <w:b/>
                <w:bCs/>
              </w:rPr>
              <w:t>Б.1</w:t>
            </w:r>
            <w:r>
              <w:rPr>
                <w:b/>
                <w:bCs/>
                <w:lang w:val="en-US"/>
              </w:rPr>
              <w:t>2</w:t>
            </w:r>
            <w:r w:rsidRPr="00A3637A">
              <w:rPr>
                <w:b/>
                <w:bCs/>
              </w:rPr>
              <w:t>.2</w:t>
            </w:r>
          </w:p>
        </w:tc>
        <w:tc>
          <w:tcPr>
            <w:tcW w:w="3039" w:type="dxa"/>
            <w:vMerge w:val="restart"/>
            <w:hideMark/>
          </w:tcPr>
          <w:p w:rsidR="0012162C" w:rsidRPr="00A3637A" w:rsidRDefault="0012162C">
            <w:r w:rsidRPr="00415BC8">
              <w:t>Взрывные работы на открытых горных разработках и специальные взрывные работы</w:t>
            </w:r>
          </w:p>
        </w:tc>
        <w:tc>
          <w:tcPr>
            <w:tcW w:w="9884" w:type="dxa"/>
          </w:tcPr>
          <w:p w:rsidR="0012162C" w:rsidRPr="0012162C" w:rsidRDefault="0012162C" w:rsidP="001216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приказ </w:t>
            </w:r>
            <w:proofErr w:type="spellStart"/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Ростехнадзора</w:t>
            </w:r>
            <w:proofErr w:type="spellEnd"/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от 16.04.2012 № 254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выдаче разрешений на ведение работ </w:t>
            </w:r>
            <w:proofErr w:type="gramStart"/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со</w:t>
            </w:r>
            <w:proofErr w:type="gramEnd"/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взрывчатыми материалами промышленного назначения»</w:t>
            </w:r>
          </w:p>
        </w:tc>
      </w:tr>
      <w:tr w:rsidR="0012162C" w:rsidRPr="00A3637A" w:rsidTr="0012162C">
        <w:trPr>
          <w:trHeight w:val="678"/>
        </w:trPr>
        <w:tc>
          <w:tcPr>
            <w:tcW w:w="561" w:type="dxa"/>
            <w:vMerge/>
            <w:hideMark/>
          </w:tcPr>
          <w:p w:rsidR="0012162C" w:rsidRPr="00A3637A" w:rsidRDefault="0012162C"/>
        </w:tc>
        <w:tc>
          <w:tcPr>
            <w:tcW w:w="1076" w:type="dxa"/>
            <w:vMerge/>
            <w:hideMark/>
          </w:tcPr>
          <w:p w:rsidR="0012162C" w:rsidRPr="00A3637A" w:rsidRDefault="0012162C">
            <w:pPr>
              <w:rPr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12162C" w:rsidRPr="00A3637A" w:rsidRDefault="0012162C"/>
        </w:tc>
        <w:tc>
          <w:tcPr>
            <w:tcW w:w="9884" w:type="dxa"/>
          </w:tcPr>
          <w:p w:rsidR="0012162C" w:rsidRPr="0012162C" w:rsidRDefault="0012162C" w:rsidP="001216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ТР</w:t>
            </w:r>
            <w:proofErr w:type="gramEnd"/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ТС 028/2012. Технический регламент Таможенного союза. О безопасности взрывчатых веществ и изделий на их основе</w:t>
            </w:r>
          </w:p>
        </w:tc>
      </w:tr>
      <w:tr w:rsidR="0012162C" w:rsidRPr="00A3637A" w:rsidTr="0012162C">
        <w:trPr>
          <w:trHeight w:val="870"/>
        </w:trPr>
        <w:tc>
          <w:tcPr>
            <w:tcW w:w="561" w:type="dxa"/>
            <w:vMerge/>
            <w:hideMark/>
          </w:tcPr>
          <w:p w:rsidR="0012162C" w:rsidRPr="00A3637A" w:rsidRDefault="0012162C"/>
        </w:tc>
        <w:tc>
          <w:tcPr>
            <w:tcW w:w="1076" w:type="dxa"/>
            <w:vMerge/>
            <w:hideMark/>
          </w:tcPr>
          <w:p w:rsidR="0012162C" w:rsidRPr="00A3637A" w:rsidRDefault="0012162C">
            <w:pPr>
              <w:rPr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12162C" w:rsidRPr="00A3637A" w:rsidRDefault="0012162C"/>
        </w:tc>
        <w:tc>
          <w:tcPr>
            <w:tcW w:w="9884" w:type="dxa"/>
          </w:tcPr>
          <w:p w:rsidR="0012162C" w:rsidRPr="0012162C" w:rsidRDefault="0012162C" w:rsidP="001216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постановление Правительства РФ от 15.09.2020 № 1435 «О лицензировании деятельности, связанной с обращением взрывчатых материалов промышленного назначения» (вместе с «Положением о лицензировании деятельности, связанной с обращением взрывчатых материалов промышленного назначения»)</w:t>
            </w:r>
          </w:p>
        </w:tc>
      </w:tr>
      <w:tr w:rsidR="0012162C" w:rsidRPr="00A3637A" w:rsidTr="0012162C">
        <w:trPr>
          <w:trHeight w:val="765"/>
        </w:trPr>
        <w:tc>
          <w:tcPr>
            <w:tcW w:w="561" w:type="dxa"/>
            <w:vMerge/>
            <w:hideMark/>
          </w:tcPr>
          <w:p w:rsidR="0012162C" w:rsidRPr="00A3637A" w:rsidRDefault="0012162C"/>
        </w:tc>
        <w:tc>
          <w:tcPr>
            <w:tcW w:w="1076" w:type="dxa"/>
            <w:vMerge/>
            <w:hideMark/>
          </w:tcPr>
          <w:p w:rsidR="0012162C" w:rsidRPr="00A3637A" w:rsidRDefault="0012162C">
            <w:pPr>
              <w:rPr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12162C" w:rsidRPr="00A3637A" w:rsidRDefault="0012162C"/>
        </w:tc>
        <w:tc>
          <w:tcPr>
            <w:tcW w:w="9884" w:type="dxa"/>
          </w:tcPr>
          <w:p w:rsidR="0012162C" w:rsidRPr="0012162C" w:rsidRDefault="0012162C" w:rsidP="001216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приказ </w:t>
            </w:r>
            <w:proofErr w:type="spellStart"/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Ростехнадзора</w:t>
            </w:r>
            <w:proofErr w:type="spellEnd"/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от 04.08.2014 № 345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выдаче разрешений на постоянное применение взрывчатых веществ и изделий на их основе»</w:t>
            </w:r>
          </w:p>
        </w:tc>
      </w:tr>
      <w:tr w:rsidR="0012162C" w:rsidRPr="00A3637A" w:rsidTr="0012162C">
        <w:trPr>
          <w:trHeight w:val="390"/>
        </w:trPr>
        <w:tc>
          <w:tcPr>
            <w:tcW w:w="561" w:type="dxa"/>
            <w:vMerge/>
            <w:hideMark/>
          </w:tcPr>
          <w:p w:rsidR="0012162C" w:rsidRPr="00A3637A" w:rsidRDefault="0012162C"/>
        </w:tc>
        <w:tc>
          <w:tcPr>
            <w:tcW w:w="1076" w:type="dxa"/>
            <w:vMerge/>
            <w:hideMark/>
          </w:tcPr>
          <w:p w:rsidR="0012162C" w:rsidRPr="00A3637A" w:rsidRDefault="0012162C">
            <w:pPr>
              <w:rPr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12162C" w:rsidRPr="00A3637A" w:rsidRDefault="0012162C"/>
        </w:tc>
        <w:tc>
          <w:tcPr>
            <w:tcW w:w="9884" w:type="dxa"/>
          </w:tcPr>
          <w:p w:rsidR="0012162C" w:rsidRPr="0012162C" w:rsidRDefault="0012162C" w:rsidP="001216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приказ </w:t>
            </w:r>
            <w:proofErr w:type="spellStart"/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Ростехнадзора</w:t>
            </w:r>
            <w:proofErr w:type="spellEnd"/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от 03.12.2020 № 494 «Об утверждении Федеральных норм и правил в области промышленной безопасности "Правила безопасности при производстве, хранении и применении взрывчатых материалов промышленного назначения"»</w:t>
            </w:r>
          </w:p>
        </w:tc>
      </w:tr>
      <w:tr w:rsidR="0012162C" w:rsidRPr="00A3637A" w:rsidTr="0012162C">
        <w:trPr>
          <w:trHeight w:val="390"/>
        </w:trPr>
        <w:tc>
          <w:tcPr>
            <w:tcW w:w="561" w:type="dxa"/>
            <w:vMerge/>
          </w:tcPr>
          <w:p w:rsidR="0012162C" w:rsidRPr="00A3637A" w:rsidRDefault="0012162C"/>
        </w:tc>
        <w:tc>
          <w:tcPr>
            <w:tcW w:w="1076" w:type="dxa"/>
            <w:vMerge/>
          </w:tcPr>
          <w:p w:rsidR="0012162C" w:rsidRPr="00A3637A" w:rsidRDefault="0012162C">
            <w:pPr>
              <w:rPr>
                <w:b/>
                <w:bCs/>
              </w:rPr>
            </w:pPr>
          </w:p>
        </w:tc>
        <w:tc>
          <w:tcPr>
            <w:tcW w:w="3039" w:type="dxa"/>
            <w:vMerge/>
          </w:tcPr>
          <w:p w:rsidR="0012162C" w:rsidRPr="00A3637A" w:rsidRDefault="0012162C"/>
        </w:tc>
        <w:tc>
          <w:tcPr>
            <w:tcW w:w="9884" w:type="dxa"/>
          </w:tcPr>
          <w:p w:rsidR="0012162C" w:rsidRPr="0012162C" w:rsidRDefault="0012162C" w:rsidP="0012162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приказ </w:t>
            </w:r>
            <w:proofErr w:type="spellStart"/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Ростехнадзора</w:t>
            </w:r>
            <w:proofErr w:type="spellEnd"/>
            <w:r w:rsidRPr="001216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от 08.12.2020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</w:t>
            </w:r>
          </w:p>
        </w:tc>
      </w:tr>
    </w:tbl>
    <w:p w:rsidR="006C5C76" w:rsidRDefault="006C5C76" w:rsidP="006C5C76"/>
    <w:p w:rsidR="006C5C76" w:rsidRPr="006C5C76" w:rsidRDefault="006C5C76" w:rsidP="006C5C76"/>
    <w:sectPr w:rsidR="006C5C76" w:rsidRPr="006C5C76" w:rsidSect="004D6129">
      <w:footerReference w:type="default" r:id="rId8"/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98" w:rsidRDefault="00465598" w:rsidP="00533D9B">
      <w:pPr>
        <w:spacing w:after="0" w:line="240" w:lineRule="auto"/>
      </w:pPr>
      <w:r>
        <w:separator/>
      </w:r>
    </w:p>
  </w:endnote>
  <w:endnote w:type="continuationSeparator" w:id="0">
    <w:p w:rsidR="00465598" w:rsidRDefault="00465598" w:rsidP="0053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189635"/>
      <w:docPartObj>
        <w:docPartGallery w:val="Page Numbers (Bottom of Page)"/>
        <w:docPartUnique/>
      </w:docPartObj>
    </w:sdtPr>
    <w:sdtEndPr/>
    <w:sdtContent>
      <w:p w:rsidR="00533D9B" w:rsidRDefault="00533D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180">
          <w:rPr>
            <w:noProof/>
          </w:rPr>
          <w:t>1</w:t>
        </w:r>
        <w:r>
          <w:fldChar w:fldCharType="end"/>
        </w:r>
      </w:p>
    </w:sdtContent>
  </w:sdt>
  <w:p w:rsidR="00533D9B" w:rsidRDefault="00533D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98" w:rsidRDefault="00465598" w:rsidP="00533D9B">
      <w:pPr>
        <w:spacing w:after="0" w:line="240" w:lineRule="auto"/>
      </w:pPr>
      <w:r>
        <w:separator/>
      </w:r>
    </w:p>
  </w:footnote>
  <w:footnote w:type="continuationSeparator" w:id="0">
    <w:p w:rsidR="00465598" w:rsidRDefault="00465598" w:rsidP="00533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3A2F"/>
    <w:multiLevelType w:val="hybridMultilevel"/>
    <w:tmpl w:val="C50847FC"/>
    <w:lvl w:ilvl="0" w:tplc="EB165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247D6"/>
    <w:multiLevelType w:val="multilevel"/>
    <w:tmpl w:val="0419001D"/>
    <w:styleLink w:val="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F762992"/>
    <w:multiLevelType w:val="hybridMultilevel"/>
    <w:tmpl w:val="C50847FC"/>
    <w:lvl w:ilvl="0" w:tplc="EB165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76"/>
    <w:rsid w:val="00010891"/>
    <w:rsid w:val="00074B66"/>
    <w:rsid w:val="000E440F"/>
    <w:rsid w:val="0012162C"/>
    <w:rsid w:val="001906E2"/>
    <w:rsid w:val="00225E3A"/>
    <w:rsid w:val="00227EC3"/>
    <w:rsid w:val="002B310F"/>
    <w:rsid w:val="002B4540"/>
    <w:rsid w:val="002B6BCE"/>
    <w:rsid w:val="002F1C6F"/>
    <w:rsid w:val="003F2485"/>
    <w:rsid w:val="00415BC8"/>
    <w:rsid w:val="004374C2"/>
    <w:rsid w:val="00441190"/>
    <w:rsid w:val="00465598"/>
    <w:rsid w:val="004D6129"/>
    <w:rsid w:val="00533D9B"/>
    <w:rsid w:val="00557C37"/>
    <w:rsid w:val="005C3AF7"/>
    <w:rsid w:val="00692934"/>
    <w:rsid w:val="006A0353"/>
    <w:rsid w:val="006C5C76"/>
    <w:rsid w:val="0075114A"/>
    <w:rsid w:val="00775805"/>
    <w:rsid w:val="00A01090"/>
    <w:rsid w:val="00A111FE"/>
    <w:rsid w:val="00A3637A"/>
    <w:rsid w:val="00A919FF"/>
    <w:rsid w:val="00AF1F12"/>
    <w:rsid w:val="00B57FCA"/>
    <w:rsid w:val="00B93AEA"/>
    <w:rsid w:val="00C24815"/>
    <w:rsid w:val="00D47010"/>
    <w:rsid w:val="00D868DE"/>
    <w:rsid w:val="00DA0588"/>
    <w:rsid w:val="00E06735"/>
    <w:rsid w:val="00EB4180"/>
    <w:rsid w:val="00F0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E">
    <w:name w:val="YE"/>
    <w:basedOn w:val="a0"/>
    <w:uiPriority w:val="1"/>
    <w:qFormat/>
    <w:rsid w:val="00010891"/>
    <w:rPr>
      <w:rFonts w:ascii="Verdana" w:hAnsi="Verdana"/>
      <w:b w:val="0"/>
    </w:rPr>
  </w:style>
  <w:style w:type="character" w:customStyle="1" w:styleId="a3">
    <w:name w:val="НД"/>
    <w:basedOn w:val="a0"/>
    <w:uiPriority w:val="1"/>
    <w:qFormat/>
    <w:rsid w:val="00B93AEA"/>
    <w:rPr>
      <w:rFonts w:ascii="Verdana" w:hAnsi="Verdana"/>
      <w:b/>
      <w:bCs/>
      <w:sz w:val="22"/>
    </w:rPr>
  </w:style>
  <w:style w:type="numbering" w:customStyle="1" w:styleId="111">
    <w:name w:val="111"/>
    <w:basedOn w:val="a2"/>
    <w:uiPriority w:val="99"/>
    <w:rsid w:val="00F07A21"/>
    <w:pPr>
      <w:numPr>
        <w:numId w:val="1"/>
      </w:numPr>
    </w:pPr>
  </w:style>
  <w:style w:type="paragraph" w:customStyle="1" w:styleId="222">
    <w:name w:val="222"/>
    <w:basedOn w:val="1"/>
    <w:qFormat/>
    <w:rsid w:val="00F07A21"/>
    <w:pPr>
      <w:spacing w:after="160"/>
      <w:jc w:val="right"/>
    </w:pPr>
    <w:rPr>
      <w:rFonts w:eastAsiaTheme="minorEastAsia"/>
      <w:color w:val="0000AA"/>
      <w:u w:val="single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F07A21"/>
    <w:pPr>
      <w:spacing w:after="100"/>
    </w:pPr>
  </w:style>
  <w:style w:type="table" w:styleId="a4">
    <w:name w:val="Table Grid"/>
    <w:basedOn w:val="a1"/>
    <w:uiPriority w:val="39"/>
    <w:rsid w:val="006C5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D9B"/>
  </w:style>
  <w:style w:type="paragraph" w:styleId="a7">
    <w:name w:val="footer"/>
    <w:basedOn w:val="a"/>
    <w:link w:val="a8"/>
    <w:uiPriority w:val="99"/>
    <w:unhideWhenUsed/>
    <w:rsid w:val="0053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3D9B"/>
  </w:style>
  <w:style w:type="paragraph" w:styleId="a9">
    <w:name w:val="Normal (Web)"/>
    <w:basedOn w:val="a"/>
    <w:uiPriority w:val="99"/>
    <w:unhideWhenUsed/>
    <w:rsid w:val="0043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61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E">
    <w:name w:val="YE"/>
    <w:basedOn w:val="a0"/>
    <w:uiPriority w:val="1"/>
    <w:qFormat/>
    <w:rsid w:val="00010891"/>
    <w:rPr>
      <w:rFonts w:ascii="Verdana" w:hAnsi="Verdana"/>
      <w:b w:val="0"/>
    </w:rPr>
  </w:style>
  <w:style w:type="character" w:customStyle="1" w:styleId="a3">
    <w:name w:val="НД"/>
    <w:basedOn w:val="a0"/>
    <w:uiPriority w:val="1"/>
    <w:qFormat/>
    <w:rsid w:val="00B93AEA"/>
    <w:rPr>
      <w:rFonts w:ascii="Verdana" w:hAnsi="Verdana"/>
      <w:b/>
      <w:bCs/>
      <w:sz w:val="22"/>
    </w:rPr>
  </w:style>
  <w:style w:type="numbering" w:customStyle="1" w:styleId="111">
    <w:name w:val="111"/>
    <w:basedOn w:val="a2"/>
    <w:uiPriority w:val="99"/>
    <w:rsid w:val="00F07A21"/>
    <w:pPr>
      <w:numPr>
        <w:numId w:val="1"/>
      </w:numPr>
    </w:pPr>
  </w:style>
  <w:style w:type="paragraph" w:customStyle="1" w:styleId="222">
    <w:name w:val="222"/>
    <w:basedOn w:val="1"/>
    <w:qFormat/>
    <w:rsid w:val="00F07A21"/>
    <w:pPr>
      <w:spacing w:after="160"/>
      <w:jc w:val="right"/>
    </w:pPr>
    <w:rPr>
      <w:rFonts w:eastAsiaTheme="minorEastAsia"/>
      <w:color w:val="0000AA"/>
      <w:u w:val="single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F07A21"/>
    <w:pPr>
      <w:spacing w:after="100"/>
    </w:pPr>
  </w:style>
  <w:style w:type="table" w:styleId="a4">
    <w:name w:val="Table Grid"/>
    <w:basedOn w:val="a1"/>
    <w:uiPriority w:val="39"/>
    <w:rsid w:val="006C5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D9B"/>
  </w:style>
  <w:style w:type="paragraph" w:styleId="a7">
    <w:name w:val="footer"/>
    <w:basedOn w:val="a"/>
    <w:link w:val="a8"/>
    <w:uiPriority w:val="99"/>
    <w:unhideWhenUsed/>
    <w:rsid w:val="0053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3D9B"/>
  </w:style>
  <w:style w:type="paragraph" w:styleId="a9">
    <w:name w:val="Normal (Web)"/>
    <w:basedOn w:val="a"/>
    <w:uiPriority w:val="99"/>
    <w:unhideWhenUsed/>
    <w:rsid w:val="0043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6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Viktoriya</cp:lastModifiedBy>
  <cp:revision>2</cp:revision>
  <cp:lastPrinted>2023-12-08T07:23:00Z</cp:lastPrinted>
  <dcterms:created xsi:type="dcterms:W3CDTF">2023-12-08T07:35:00Z</dcterms:created>
  <dcterms:modified xsi:type="dcterms:W3CDTF">2023-12-08T07:35:00Z</dcterms:modified>
</cp:coreProperties>
</file>